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0583" w:rsidRDefault="008A17BF"/>
    <w:p w:rsidR="00600A1F" w:rsidRPr="008518FA" w:rsidRDefault="00600A1F" w:rsidP="00600A1F">
      <w:pPr>
        <w:jc w:val="center"/>
        <w:rPr>
          <w:rFonts w:ascii="Athelas" w:hAnsi="Athelas"/>
          <w:b/>
          <w:sz w:val="36"/>
          <w:szCs w:val="36"/>
          <w:u w:val="single"/>
        </w:rPr>
      </w:pPr>
      <w:r w:rsidRPr="008518FA">
        <w:rPr>
          <w:rFonts w:ascii="Athelas" w:hAnsi="Athelas"/>
          <w:b/>
          <w:sz w:val="36"/>
          <w:szCs w:val="36"/>
          <w:u w:val="single"/>
        </w:rPr>
        <w:t xml:space="preserve">Pricing Schedule – 2020 </w:t>
      </w:r>
    </w:p>
    <w:p w:rsidR="00600A1F" w:rsidRDefault="00600A1F" w:rsidP="00600A1F">
      <w:pPr>
        <w:jc w:val="center"/>
        <w:rPr>
          <w:rFonts w:ascii="Athelas" w:hAnsi="Athelas"/>
          <w:sz w:val="36"/>
          <w:szCs w:val="36"/>
        </w:rPr>
      </w:pPr>
    </w:p>
    <w:tbl>
      <w:tblPr>
        <w:tblStyle w:val="TableGrid"/>
        <w:tblW w:w="0" w:type="auto"/>
        <w:tblInd w:w="-635" w:type="dxa"/>
        <w:tblLook w:val="04A0" w:firstRow="1" w:lastRow="0" w:firstColumn="1" w:lastColumn="0" w:noHBand="0" w:noVBand="1"/>
      </w:tblPr>
      <w:tblGrid>
        <w:gridCol w:w="8471"/>
        <w:gridCol w:w="1496"/>
        <w:gridCol w:w="18"/>
      </w:tblGrid>
      <w:tr w:rsidR="00600A1F" w:rsidTr="008518FA">
        <w:trPr>
          <w:trHeight w:val="604"/>
        </w:trPr>
        <w:tc>
          <w:tcPr>
            <w:tcW w:w="8471" w:type="dxa"/>
          </w:tcPr>
          <w:p w:rsidR="00600A1F" w:rsidRPr="008518FA" w:rsidRDefault="00600A1F" w:rsidP="00600A1F">
            <w:pPr>
              <w:rPr>
                <w:rFonts w:ascii="Athelas" w:hAnsi="Athelas"/>
                <w:b/>
                <w:sz w:val="28"/>
                <w:szCs w:val="28"/>
                <w:u w:val="single"/>
              </w:rPr>
            </w:pPr>
            <w:r w:rsidRPr="008518FA">
              <w:rPr>
                <w:rFonts w:ascii="Athelas" w:hAnsi="Athelas"/>
                <w:b/>
                <w:sz w:val="28"/>
                <w:szCs w:val="28"/>
                <w:u w:val="single"/>
              </w:rPr>
              <w:t>Service Description</w:t>
            </w:r>
          </w:p>
        </w:tc>
        <w:tc>
          <w:tcPr>
            <w:tcW w:w="1514" w:type="dxa"/>
            <w:gridSpan w:val="2"/>
          </w:tcPr>
          <w:p w:rsidR="004B2BE1" w:rsidRPr="008518FA" w:rsidRDefault="00600A1F" w:rsidP="008518FA">
            <w:pPr>
              <w:jc w:val="center"/>
              <w:rPr>
                <w:rFonts w:ascii="Athelas" w:hAnsi="Athelas"/>
                <w:b/>
                <w:sz w:val="28"/>
                <w:szCs w:val="28"/>
                <w:u w:val="single"/>
              </w:rPr>
            </w:pPr>
            <w:r w:rsidRPr="008518FA">
              <w:rPr>
                <w:rFonts w:ascii="Athelas" w:hAnsi="Athelas"/>
                <w:b/>
                <w:sz w:val="28"/>
                <w:szCs w:val="28"/>
                <w:u w:val="single"/>
              </w:rPr>
              <w:t>Cost</w:t>
            </w:r>
          </w:p>
          <w:p w:rsidR="00600A1F" w:rsidRPr="008518FA" w:rsidRDefault="00600A1F" w:rsidP="008518FA">
            <w:pPr>
              <w:jc w:val="center"/>
              <w:rPr>
                <w:rFonts w:ascii="Athelas" w:hAnsi="Athelas"/>
                <w:b/>
                <w:sz w:val="28"/>
                <w:szCs w:val="28"/>
                <w:u w:val="single"/>
              </w:rPr>
            </w:pPr>
          </w:p>
        </w:tc>
      </w:tr>
      <w:tr w:rsidR="00600A1F" w:rsidTr="008518FA">
        <w:trPr>
          <w:gridAfter w:val="1"/>
          <w:wAfter w:w="18" w:type="dxa"/>
          <w:trHeight w:val="604"/>
        </w:trPr>
        <w:tc>
          <w:tcPr>
            <w:tcW w:w="8471" w:type="dxa"/>
          </w:tcPr>
          <w:p w:rsidR="00600A1F" w:rsidRDefault="008518FA" w:rsidP="00600A1F">
            <w:pPr>
              <w:rPr>
                <w:rFonts w:ascii="Athelas" w:hAnsi="Athelas"/>
                <w:sz w:val="28"/>
                <w:szCs w:val="28"/>
              </w:rPr>
            </w:pPr>
            <w:r>
              <w:rPr>
                <w:rFonts w:ascii="Athelas" w:hAnsi="Athelas"/>
                <w:sz w:val="28"/>
                <w:szCs w:val="28"/>
              </w:rPr>
              <w:t xml:space="preserve">Research for Potential </w:t>
            </w:r>
            <w:r>
              <w:rPr>
                <w:rFonts w:ascii="Athelas" w:hAnsi="Athelas"/>
                <w:sz w:val="28"/>
                <w:szCs w:val="28"/>
              </w:rPr>
              <w:t xml:space="preserve">Funding Opportunities, </w:t>
            </w:r>
            <w:r>
              <w:rPr>
                <w:rFonts w:ascii="Athelas" w:hAnsi="Athelas"/>
                <w:sz w:val="28"/>
                <w:szCs w:val="28"/>
              </w:rPr>
              <w:t>Maintaining Grant Schedule</w:t>
            </w:r>
            <w:r>
              <w:rPr>
                <w:rFonts w:ascii="Athelas" w:hAnsi="Athelas"/>
                <w:sz w:val="28"/>
                <w:szCs w:val="28"/>
              </w:rPr>
              <w:t xml:space="preserve">, </w:t>
            </w:r>
            <w:r>
              <w:rPr>
                <w:rFonts w:ascii="Athelas" w:hAnsi="Athelas"/>
                <w:sz w:val="28"/>
                <w:szCs w:val="28"/>
              </w:rPr>
              <w:t>Review Criteria</w:t>
            </w:r>
            <w:r>
              <w:rPr>
                <w:rFonts w:ascii="Athelas" w:hAnsi="Athelas"/>
                <w:sz w:val="28"/>
                <w:szCs w:val="28"/>
              </w:rPr>
              <w:t xml:space="preserve">, Planning, and Grant Writing </w:t>
            </w:r>
          </w:p>
        </w:tc>
        <w:tc>
          <w:tcPr>
            <w:tcW w:w="1496" w:type="dxa"/>
          </w:tcPr>
          <w:p w:rsidR="00600A1F" w:rsidRDefault="008518FA" w:rsidP="008518FA">
            <w:pPr>
              <w:jc w:val="center"/>
              <w:rPr>
                <w:rFonts w:ascii="Athelas" w:hAnsi="Athelas"/>
                <w:sz w:val="28"/>
                <w:szCs w:val="28"/>
              </w:rPr>
            </w:pPr>
            <w:r>
              <w:rPr>
                <w:rFonts w:ascii="Athelas" w:hAnsi="Athelas"/>
                <w:sz w:val="28"/>
                <w:szCs w:val="28"/>
              </w:rPr>
              <w:t>$35/hour</w:t>
            </w:r>
          </w:p>
        </w:tc>
      </w:tr>
      <w:tr w:rsidR="008518FA" w:rsidTr="003D37A8">
        <w:trPr>
          <w:trHeight w:val="604"/>
        </w:trPr>
        <w:tc>
          <w:tcPr>
            <w:tcW w:w="8471" w:type="dxa"/>
          </w:tcPr>
          <w:p w:rsidR="008518FA" w:rsidRDefault="008518FA" w:rsidP="003D37A8">
            <w:pPr>
              <w:rPr>
                <w:rFonts w:ascii="Athelas" w:hAnsi="Athelas"/>
                <w:sz w:val="28"/>
                <w:szCs w:val="28"/>
              </w:rPr>
            </w:pPr>
            <w:r>
              <w:rPr>
                <w:rFonts w:ascii="Athelas" w:hAnsi="Athelas"/>
                <w:sz w:val="28"/>
                <w:szCs w:val="28"/>
              </w:rPr>
              <w:t>Research for Potential Funding Opportunities and Review Criteria</w:t>
            </w:r>
            <w:r>
              <w:rPr>
                <w:rFonts w:ascii="Athelas" w:hAnsi="Athelas"/>
                <w:sz w:val="28"/>
                <w:szCs w:val="28"/>
              </w:rPr>
              <w:t xml:space="preserve"> (weekly updates)</w:t>
            </w:r>
          </w:p>
        </w:tc>
        <w:tc>
          <w:tcPr>
            <w:tcW w:w="1514" w:type="dxa"/>
            <w:gridSpan w:val="2"/>
          </w:tcPr>
          <w:p w:rsidR="008518FA" w:rsidRDefault="008518FA" w:rsidP="003D37A8">
            <w:pPr>
              <w:jc w:val="center"/>
              <w:rPr>
                <w:rFonts w:ascii="Athelas" w:hAnsi="Athelas"/>
                <w:sz w:val="28"/>
                <w:szCs w:val="28"/>
              </w:rPr>
            </w:pPr>
            <w:r>
              <w:rPr>
                <w:rFonts w:ascii="Athelas" w:hAnsi="Athelas"/>
                <w:sz w:val="28"/>
                <w:szCs w:val="28"/>
              </w:rPr>
              <w:t>$50/month</w:t>
            </w:r>
          </w:p>
        </w:tc>
      </w:tr>
      <w:tr w:rsidR="008518FA" w:rsidTr="003D37A8">
        <w:trPr>
          <w:gridAfter w:val="1"/>
          <w:wAfter w:w="18" w:type="dxa"/>
          <w:trHeight w:val="604"/>
        </w:trPr>
        <w:tc>
          <w:tcPr>
            <w:tcW w:w="8471" w:type="dxa"/>
          </w:tcPr>
          <w:p w:rsidR="008518FA" w:rsidRDefault="008518FA" w:rsidP="003D37A8">
            <w:pPr>
              <w:rPr>
                <w:rFonts w:ascii="Athelas" w:hAnsi="Athelas"/>
                <w:sz w:val="28"/>
                <w:szCs w:val="28"/>
              </w:rPr>
            </w:pPr>
            <w:r>
              <w:rPr>
                <w:rFonts w:ascii="Athelas" w:hAnsi="Athelas"/>
                <w:sz w:val="28"/>
                <w:szCs w:val="28"/>
              </w:rPr>
              <w:t xml:space="preserve">Drafting and Submitting </w:t>
            </w:r>
            <w:r>
              <w:rPr>
                <w:rFonts w:ascii="Athelas" w:hAnsi="Athelas"/>
                <w:sz w:val="28"/>
                <w:szCs w:val="28"/>
              </w:rPr>
              <w:t>Statement of Interest or Letter of Intent</w:t>
            </w:r>
          </w:p>
        </w:tc>
        <w:tc>
          <w:tcPr>
            <w:tcW w:w="1496" w:type="dxa"/>
          </w:tcPr>
          <w:p w:rsidR="008518FA" w:rsidRDefault="008518FA" w:rsidP="003D37A8">
            <w:pPr>
              <w:jc w:val="center"/>
              <w:rPr>
                <w:rFonts w:ascii="Athelas" w:hAnsi="Athelas"/>
                <w:sz w:val="28"/>
                <w:szCs w:val="28"/>
              </w:rPr>
            </w:pPr>
            <w:r>
              <w:rPr>
                <w:rFonts w:ascii="Athelas" w:hAnsi="Athelas"/>
                <w:sz w:val="28"/>
                <w:szCs w:val="28"/>
              </w:rPr>
              <w:t>$750</w:t>
            </w:r>
          </w:p>
        </w:tc>
      </w:tr>
      <w:tr w:rsidR="008518FA" w:rsidTr="003D37A8">
        <w:trPr>
          <w:gridAfter w:val="1"/>
          <w:wAfter w:w="18" w:type="dxa"/>
          <w:trHeight w:val="604"/>
        </w:trPr>
        <w:tc>
          <w:tcPr>
            <w:tcW w:w="8471" w:type="dxa"/>
          </w:tcPr>
          <w:p w:rsidR="008518FA" w:rsidRDefault="008518FA" w:rsidP="003D37A8">
            <w:pPr>
              <w:rPr>
                <w:rFonts w:ascii="Athelas" w:hAnsi="Athelas"/>
                <w:sz w:val="28"/>
                <w:szCs w:val="28"/>
              </w:rPr>
            </w:pPr>
            <w:r>
              <w:rPr>
                <w:rFonts w:ascii="Athelas" w:hAnsi="Athelas"/>
                <w:sz w:val="28"/>
                <w:szCs w:val="28"/>
              </w:rPr>
              <w:t>Narrative Review (per page)</w:t>
            </w:r>
          </w:p>
        </w:tc>
        <w:tc>
          <w:tcPr>
            <w:tcW w:w="1496" w:type="dxa"/>
          </w:tcPr>
          <w:p w:rsidR="008518FA" w:rsidRDefault="008518FA" w:rsidP="003D37A8">
            <w:pPr>
              <w:jc w:val="center"/>
              <w:rPr>
                <w:rFonts w:ascii="Athelas" w:hAnsi="Athelas"/>
                <w:sz w:val="28"/>
                <w:szCs w:val="28"/>
              </w:rPr>
            </w:pPr>
            <w:r>
              <w:rPr>
                <w:rFonts w:ascii="Athelas" w:hAnsi="Athelas"/>
                <w:sz w:val="28"/>
                <w:szCs w:val="28"/>
              </w:rPr>
              <w:t>$25</w:t>
            </w:r>
            <w:r>
              <w:rPr>
                <w:rFonts w:ascii="Athelas" w:hAnsi="Athelas"/>
                <w:sz w:val="28"/>
                <w:szCs w:val="28"/>
              </w:rPr>
              <w:t>/page</w:t>
            </w:r>
          </w:p>
        </w:tc>
      </w:tr>
    </w:tbl>
    <w:p w:rsidR="00600A1F" w:rsidRPr="00600A1F" w:rsidRDefault="00600A1F" w:rsidP="00600A1F">
      <w:pPr>
        <w:rPr>
          <w:rFonts w:ascii="Athelas" w:hAnsi="Athelas"/>
          <w:sz w:val="28"/>
          <w:szCs w:val="28"/>
        </w:rPr>
      </w:pPr>
      <w:bookmarkStart w:id="0" w:name="_GoBack"/>
      <w:bookmarkEnd w:id="0"/>
    </w:p>
    <w:sectPr w:rsidR="00600A1F" w:rsidRPr="00600A1F" w:rsidSect="00931A40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17BF" w:rsidRDefault="008A17BF" w:rsidP="00600A1F">
      <w:r>
        <w:separator/>
      </w:r>
    </w:p>
  </w:endnote>
  <w:endnote w:type="continuationSeparator" w:id="0">
    <w:p w:rsidR="008A17BF" w:rsidRDefault="008A17BF" w:rsidP="00600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thelas">
    <w:panose1 w:val="02000503000000020003"/>
    <w:charset w:val="4D"/>
    <w:family w:val="auto"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17BF" w:rsidRDefault="008A17BF" w:rsidP="00600A1F">
      <w:r>
        <w:separator/>
      </w:r>
    </w:p>
  </w:footnote>
  <w:footnote w:type="continuationSeparator" w:id="0">
    <w:p w:rsidR="008A17BF" w:rsidRDefault="008A17BF" w:rsidP="00600A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A1F" w:rsidRDefault="00600A1F" w:rsidP="00600A1F">
    <w:pPr>
      <w:pStyle w:val="Header"/>
      <w:jc w:val="center"/>
    </w:pPr>
    <w:r w:rsidRPr="00600A1F">
      <w:drawing>
        <wp:inline distT="0" distB="0" distL="0" distR="0" wp14:anchorId="1DE50766" wp14:editId="05CFC2B2">
          <wp:extent cx="2184400" cy="84038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3402" cy="8476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A1F"/>
    <w:rsid w:val="004B2BE1"/>
    <w:rsid w:val="0058419C"/>
    <w:rsid w:val="00600A1F"/>
    <w:rsid w:val="006E179F"/>
    <w:rsid w:val="007302E3"/>
    <w:rsid w:val="008120BE"/>
    <w:rsid w:val="008518FA"/>
    <w:rsid w:val="008A17BF"/>
    <w:rsid w:val="009220F9"/>
    <w:rsid w:val="00931A40"/>
    <w:rsid w:val="00B02894"/>
    <w:rsid w:val="00B967E3"/>
    <w:rsid w:val="00C82622"/>
    <w:rsid w:val="00F6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96A01C"/>
  <w14:defaultImageDpi w14:val="32767"/>
  <w15:chartTrackingRefBased/>
  <w15:docId w15:val="{3C137EE5-EDB6-7344-93B6-4BC759F2F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0A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0A1F"/>
  </w:style>
  <w:style w:type="paragraph" w:styleId="Footer">
    <w:name w:val="footer"/>
    <w:basedOn w:val="Normal"/>
    <w:link w:val="FooterChar"/>
    <w:uiPriority w:val="99"/>
    <w:unhideWhenUsed/>
    <w:rsid w:val="00600A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0A1F"/>
  </w:style>
  <w:style w:type="table" w:styleId="TableGrid">
    <w:name w:val="Table Grid"/>
    <w:basedOn w:val="TableNormal"/>
    <w:uiPriority w:val="39"/>
    <w:rsid w:val="00600A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Rabbit Hole</Company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josephine attisha</dc:creator>
  <cp:keywords/>
  <dc:description/>
  <cp:lastModifiedBy>josephine attisha</cp:lastModifiedBy>
  <cp:revision>1</cp:revision>
  <dcterms:created xsi:type="dcterms:W3CDTF">2020-05-31T21:08:00Z</dcterms:created>
  <dcterms:modified xsi:type="dcterms:W3CDTF">2020-05-31T22:01:00Z</dcterms:modified>
</cp:coreProperties>
</file>