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740"/>
        <w:gridCol w:w="1740"/>
        <w:gridCol w:w="1200"/>
        <w:gridCol w:w="960"/>
        <w:gridCol w:w="1220"/>
        <w:gridCol w:w="1720"/>
        <w:gridCol w:w="965"/>
        <w:gridCol w:w="1280"/>
        <w:gridCol w:w="960"/>
        <w:gridCol w:w="1270"/>
        <w:gridCol w:w="3400"/>
      </w:tblGrid>
      <w:tr w:rsidR="00A677D7" w:rsidRPr="00A677D7" w:rsidTr="00A677D7">
        <w:trPr>
          <w:trHeight w:val="630"/>
        </w:trPr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val="en-US" w:eastAsia="fr-CA"/>
              </w:rPr>
            </w:pPr>
            <w:bookmarkStart w:id="0" w:name="_GoBack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val="en-US" w:eastAsia="fr-CA"/>
              </w:rPr>
              <w:t>The Cracked Pot Studio Tour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val="en-US"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</w:tr>
      <w:bookmarkEnd w:id="0"/>
      <w:tr w:rsidR="00A677D7" w:rsidRPr="00A677D7" w:rsidTr="00A677D7">
        <w:trPr>
          <w:trHeight w:val="63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CA"/>
              </w:rPr>
              <w:t xml:space="preserve">Project </w:t>
            </w: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CA"/>
              </w:rPr>
              <w:t>Planner</w:t>
            </w:r>
            <w:proofErr w:type="spellEnd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CA"/>
              </w:rPr>
              <w:t>,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(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Task</w:t>
            </w:r>
            <w:proofErr w:type="spellEnd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Orientation)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A677D7" w:rsidRPr="00A677D7" w:rsidTr="00A677D7">
        <w:trPr>
          <w:trHeight w:val="420"/>
        </w:trPr>
        <w:tc>
          <w:tcPr>
            <w:tcW w:w="17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fr-CA"/>
              </w:rPr>
            </w:pPr>
            <w:r w:rsidRPr="00A677D7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fr-CA"/>
              </w:rPr>
              <w:t>March 18, 2020 Leadership Meeting: Chair Mary Fritz, Finance Bill Selanders, Display Pamela Timmons, Distribution Virginia Cassaday</w:t>
            </w:r>
          </w:p>
        </w:tc>
      </w:tr>
      <w:tr w:rsidR="00A677D7" w:rsidRPr="00A677D7" w:rsidTr="00A677D7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 w:eastAsia="fr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CA"/>
              </w:rPr>
            </w:pPr>
            <w:r w:rsidRPr="00A677D7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CA"/>
              </w:rPr>
              <w:t>Marketing/Strategy Facilitator Janet Kranz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fr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</w:tr>
      <w:tr w:rsidR="00A677D7" w:rsidRPr="00A677D7" w:rsidTr="00A677D7">
        <w:trPr>
          <w:trHeight w:val="42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CA"/>
              </w:rPr>
            </w:pPr>
          </w:p>
        </w:tc>
      </w:tr>
      <w:tr w:rsidR="00A677D7" w:rsidRPr="00A677D7" w:rsidTr="00A677D7">
        <w:trPr>
          <w:trHeight w:val="30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Monthly</w:t>
            </w:r>
            <w:proofErr w:type="spellEnd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Report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A677D7" w:rsidRPr="00A677D7" w:rsidTr="00A677D7">
        <w:trPr>
          <w:trHeight w:val="9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MAIN </w:t>
            </w: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TASK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KEY ACTIONS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val="en-US" w:eastAsia="fr-CA"/>
              </w:rPr>
              <w:t>KEY ACTIONS BULLETED DETAILS LIST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OWNER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START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DEADLINE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STATUS</w:t>
            </w:r>
            <w:proofErr w:type="spellEnd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/DATE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NOTES</w:t>
            </w:r>
          </w:p>
        </w:tc>
      </w:tr>
      <w:tr w:rsidR="00A677D7" w:rsidRPr="00A677D7" w:rsidTr="00A677D7">
        <w:trPr>
          <w:trHeight w:val="6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NOT </w:t>
            </w: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APPROVED</w:t>
            </w:r>
            <w:proofErr w:type="spellEnd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 </w:t>
            </w: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YET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  <w:t xml:space="preserve">NOT </w:t>
            </w: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  <w:t>STARTED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EA9DB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8EA9DB"/>
                <w:lang w:eastAsia="fr-CA"/>
              </w:rPr>
              <w:t>% OF PROGRESS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  <w:t xml:space="preserve">ON </w:t>
            </w: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  <w:t>TRACK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B050"/>
                <w:lang w:eastAsia="fr-CA"/>
              </w:rPr>
              <w:t>COMPLETED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</w:tr>
      <w:tr w:rsidR="00A677D7" w:rsidRPr="00A677D7" w:rsidTr="00A677D7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EA9DB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8EA9DB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B050"/>
                <w:lang w:eastAsia="fr-CA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</w:tr>
      <w:tr w:rsidR="00A677D7" w:rsidRPr="00A677D7" w:rsidTr="00A677D7">
        <w:trPr>
          <w:trHeight w:val="18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val="en-US" w:eastAsia="fr-CA"/>
              </w:rPr>
              <w:t>2020 Tour preplanning actions - Jan - Feb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Determine</w:t>
            </w:r>
            <w:proofErr w:type="spellEnd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tour dates, post dates on 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community</w:t>
            </w:r>
            <w:proofErr w:type="spellEnd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sites; 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request</w:t>
            </w:r>
            <w:proofErr w:type="spellEnd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grants</w:t>
            </w:r>
            <w:proofErr w:type="spellEnd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, 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prepare</w:t>
            </w:r>
            <w:proofErr w:type="spellEnd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 xml:space="preserve"> 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postcards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 xml:space="preserve">Leadership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20-Jan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20-</w:t>
            </w:r>
            <w:proofErr w:type="spellStart"/>
            <w:r w:rsidRPr="00A677D7">
              <w:rPr>
                <w:rFonts w:ascii="Calibri" w:eastAsia="Times New Roman" w:hAnsi="Calibri" w:cs="Calibri"/>
                <w:color w:val="000000"/>
                <w:lang w:eastAsia="fr-CA"/>
              </w:rPr>
              <w:t>Feb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FF0000"/>
                <w:lang w:eastAsia="fr-CA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8EA9DB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8EA9DB"/>
                <w:lang w:eastAsia="fr-CA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548235"/>
                <w:lang w:eastAsia="fr-CA"/>
              </w:rPr>
              <w:t>YES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fr-CA"/>
              </w:rPr>
            </w:pPr>
            <w:proofErr w:type="spellStart"/>
            <w:r w:rsidRPr="00A677D7">
              <w:rPr>
                <w:rFonts w:ascii="Calibri" w:eastAsia="Times New Roman" w:hAnsi="Calibri" w:cs="Calibri"/>
                <w:b/>
                <w:bCs/>
                <w:color w:val="00B050"/>
                <w:lang w:eastAsia="fr-CA"/>
              </w:rPr>
              <w:t>YES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677D7" w:rsidRPr="00A677D7" w:rsidRDefault="00A677D7" w:rsidP="00A677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</w:pPr>
            <w:r w:rsidRPr="00A677D7">
              <w:rPr>
                <w:rFonts w:ascii="Calibri" w:eastAsia="Times New Roman" w:hAnsi="Calibri" w:cs="Calibri"/>
                <w:b/>
                <w:bCs/>
                <w:color w:val="000000"/>
                <w:lang w:eastAsia="fr-CA"/>
              </w:rPr>
              <w:t> </w:t>
            </w:r>
          </w:p>
        </w:tc>
      </w:tr>
    </w:tbl>
    <w:p w:rsidR="00A64B68" w:rsidRDefault="00A64B68"/>
    <w:p w:rsidR="00A677D7" w:rsidRDefault="00A677D7"/>
    <w:p w:rsidR="00A677D7" w:rsidRDefault="00A677D7" w:rsidP="00A677D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following information is offered as a preliminary snapshot of the potential strategic direction and investment required to sustain the increasing growth of MCAA in its mission of support for ceramic artists in Michigan.</w:t>
      </w:r>
    </w:p>
    <w:p w:rsidR="00A677D7" w:rsidRPr="005F60E3" w:rsidRDefault="00A677D7" w:rsidP="00A677D7">
      <w:pPr>
        <w:rPr>
          <w:b/>
          <w:sz w:val="24"/>
          <w:szCs w:val="24"/>
          <w:u w:val="single"/>
          <w:lang w:val="en-US"/>
        </w:rPr>
      </w:pPr>
      <w:r w:rsidRPr="005F60E3">
        <w:rPr>
          <w:b/>
          <w:sz w:val="24"/>
          <w:szCs w:val="24"/>
          <w:u w:val="single"/>
          <w:lang w:val="en-US"/>
        </w:rPr>
        <w:t>Strategic Fund Development Strategic Plan</w:t>
      </w:r>
    </w:p>
    <w:p w:rsidR="00A677D7" w:rsidRDefault="00A677D7" w:rsidP="00A677D7">
      <w:pPr>
        <w:rPr>
          <w:rFonts w:cstheme="minorHAnsi"/>
          <w:spacing w:val="2"/>
          <w:sz w:val="24"/>
          <w:szCs w:val="24"/>
          <w:shd w:val="clear" w:color="auto" w:fill="FFFFFF"/>
          <w:lang w:val="en-US"/>
        </w:rPr>
      </w:pPr>
      <w:r>
        <w:rPr>
          <w:sz w:val="24"/>
          <w:szCs w:val="24"/>
          <w:lang w:val="en-US"/>
        </w:rPr>
        <w:tab/>
        <w:t xml:space="preserve">SMART Goals </w:t>
      </w:r>
      <w:r w:rsidRPr="00725F1D">
        <w:rPr>
          <w:rFonts w:cstheme="minorHAnsi"/>
          <w:sz w:val="24"/>
          <w:szCs w:val="24"/>
          <w:lang w:val="en-US"/>
        </w:rPr>
        <w:t>(</w:t>
      </w:r>
      <w:r w:rsidRPr="00725F1D"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t>specific, measurable, actionable, realistic and time bound)</w:t>
      </w:r>
      <w:r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t xml:space="preserve"> and Strategic Plan established for the overarching MCAA organization financially and by resource development fund (such as Cash Asset Fund and Endowment Fund in addition to necessary Operational Funds.</w:t>
      </w:r>
    </w:p>
    <w:p w:rsidR="00A677D7" w:rsidRDefault="00A677D7" w:rsidP="00A677D7">
      <w:pPr>
        <w:rPr>
          <w:rFonts w:cstheme="minorHAnsi"/>
          <w:spacing w:val="2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tab/>
        <w:t xml:space="preserve">SMART Funding Goals developed for each fund development category: individual donor, major giver, corporate donation, foundation donation, grants, planned giving, matching gifts, in-kind donation, fund raising events, sponsorships, alliances/influencer campaigns, digital campaigns, and social media campaigns. </w:t>
      </w:r>
    </w:p>
    <w:p w:rsidR="00A677D7" w:rsidRDefault="00A677D7" w:rsidP="00A677D7">
      <w:pPr>
        <w:rPr>
          <w:rFonts w:cstheme="minorHAnsi"/>
          <w:spacing w:val="2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tab/>
        <w:t>SMART Outreach Methodology Tactical Plan developed for each fund development category including KPI’s (key performance indicators), and Calendar.</w:t>
      </w:r>
    </w:p>
    <w:p w:rsidR="00A677D7" w:rsidRDefault="00A677D7" w:rsidP="00A677D7">
      <w:pPr>
        <w:rPr>
          <w:rFonts w:cstheme="minorHAnsi"/>
          <w:spacing w:val="2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lastRenderedPageBreak/>
        <w:tab/>
        <w:t xml:space="preserve">SMART Marketing and Content Strategy Tactical Plan with KPI’s and Calendar developed to support the success of the MCAA Fund Development Initiative across all funding categories. </w:t>
      </w:r>
      <w:r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tab/>
      </w:r>
    </w:p>
    <w:p w:rsidR="00A677D7" w:rsidRDefault="00A677D7" w:rsidP="00A677D7">
      <w:pPr>
        <w:ind w:firstLine="708"/>
        <w:rPr>
          <w:rFonts w:cstheme="minorHAnsi"/>
          <w:spacing w:val="2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spacing w:val="2"/>
          <w:sz w:val="24"/>
          <w:szCs w:val="24"/>
          <w:shd w:val="clear" w:color="auto" w:fill="FFFFFF"/>
          <w:lang w:val="en-US"/>
        </w:rPr>
        <w:t>SMART Goals and Tactical Plan established with KPI’s and Calendar for volunteer engagement to support fund development success as it increases MCAA engagement to support Michigan Ceramic Artists.</w:t>
      </w:r>
    </w:p>
    <w:p w:rsidR="00A677D7" w:rsidRDefault="00A677D7">
      <w:pPr>
        <w:rPr>
          <w:lang w:val="en-US"/>
        </w:rPr>
      </w:pPr>
    </w:p>
    <w:p w:rsidR="00A677D7" w:rsidRDefault="00A677D7">
      <w:pPr>
        <w:rPr>
          <w:lang w:val="en-US"/>
        </w:rPr>
      </w:pPr>
    </w:p>
    <w:p w:rsidR="00A677D7" w:rsidRPr="00A677D7" w:rsidRDefault="00A677D7" w:rsidP="00A677D7">
      <w:pPr>
        <w:rPr>
          <w:lang w:val="en-US"/>
        </w:rPr>
      </w:pPr>
      <w:r>
        <w:rPr>
          <w:lang w:val="en-US"/>
        </w:rPr>
        <w:t xml:space="preserve">American Red Cross </w:t>
      </w:r>
      <w:r w:rsidRPr="00A677D7">
        <w:rPr>
          <w:lang w:val="en-US"/>
        </w:rPr>
        <w:t xml:space="preserve">Patient Blood Management Services </w:t>
      </w:r>
      <w:r>
        <w:rPr>
          <w:lang w:val="en-US"/>
        </w:rPr>
        <w:t>Brief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Red Cross Patient Blood Management Services support hospital optimization of blood utilization for improved patient outcomes and safety 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• Assessment of blood management opportunity and the development of achievable targets 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• Recommended guidelines for implementing blood management practices 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• Best practices for changing culture, identifying champions 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• Continued education for sustainable blood management achievement 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 </w:t>
      </w:r>
    </w:p>
    <w:p w:rsidR="00A677D7" w:rsidRPr="00A677D7" w:rsidRDefault="00A677D7" w:rsidP="00A677D7">
      <w:pPr>
        <w:rPr>
          <w:lang w:val="en-US"/>
        </w:rPr>
      </w:pPr>
      <w:r w:rsidRPr="00A677D7">
        <w:rPr>
          <w:lang w:val="en-US"/>
        </w:rPr>
        <w:t xml:space="preserve">• Consultative experts in the field of patient blood management  </w:t>
      </w:r>
    </w:p>
    <w:sectPr w:rsidR="00A677D7" w:rsidRPr="00A67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7"/>
    <w:rsid w:val="00A64B68"/>
    <w:rsid w:val="00A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7B6CE-D2D9-4045-9F2E-882033A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kranz</dc:creator>
  <cp:keywords/>
  <dc:description/>
  <cp:lastModifiedBy>janet kranz</cp:lastModifiedBy>
  <cp:revision>1</cp:revision>
  <dcterms:created xsi:type="dcterms:W3CDTF">2020-06-11T16:42:00Z</dcterms:created>
  <dcterms:modified xsi:type="dcterms:W3CDTF">2020-06-11T16:52:00Z</dcterms:modified>
</cp:coreProperties>
</file>